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F0" w:rsidRPr="00004CF2" w:rsidRDefault="00004CF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04CF2">
        <w:rPr>
          <w:rFonts w:ascii="Times New Roman" w:hAnsi="Times New Roman" w:cs="Times New Roman"/>
          <w:i/>
          <w:sz w:val="24"/>
          <w:szCs w:val="24"/>
        </w:rPr>
        <w:t>Die nachstehenden Themen sind lediglich Vorschläge. Falls Sie selbst eine Idee haben oder ein anderes Gebiet bevorzugen, vereinbaren Sie bitte per Mail eine Konsultation!</w:t>
      </w:r>
      <w:r>
        <w:rPr>
          <w:rFonts w:ascii="Times New Roman" w:hAnsi="Times New Roman" w:cs="Times New Roman"/>
          <w:i/>
          <w:sz w:val="24"/>
          <w:szCs w:val="24"/>
        </w:rPr>
        <w:t xml:space="preserve"> Für weitere Informationen stehe ich gerne zur Verfügung. </w:t>
      </w:r>
    </w:p>
    <w:p w:rsidR="00BE2CC3" w:rsidRPr="008C40B6" w:rsidRDefault="00361945">
      <w:pPr>
        <w:rPr>
          <w:rFonts w:ascii="Times New Roman" w:hAnsi="Times New Roman" w:cs="Times New Roman"/>
          <w:b/>
          <w:sz w:val="24"/>
          <w:szCs w:val="24"/>
        </w:rPr>
      </w:pPr>
      <w:r w:rsidRPr="008C40B6">
        <w:rPr>
          <w:rFonts w:ascii="Times New Roman" w:hAnsi="Times New Roman" w:cs="Times New Roman"/>
          <w:b/>
          <w:sz w:val="24"/>
          <w:szCs w:val="24"/>
        </w:rPr>
        <w:t>Bakkalararbeiten (Auswahl)</w:t>
      </w:r>
    </w:p>
    <w:p w:rsidR="001C474C" w:rsidRPr="001C474C" w:rsidRDefault="001C474C">
      <w:pPr>
        <w:rPr>
          <w:rFonts w:ascii="Times New Roman" w:hAnsi="Times New Roman" w:cs="Times New Roman"/>
          <w:b/>
          <w:i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AT"/>
        </w:rPr>
        <w:t>Literatur</w:t>
      </w:r>
    </w:p>
    <w:p w:rsidR="00361945" w:rsidRDefault="0036194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 xml:space="preserve">Die Exilproblematik in Ernst Lothars Roman „Die Zeugin. Pariser Tagebuch einer Wienerin“ </w:t>
      </w:r>
    </w:p>
    <w:p w:rsidR="000B33B6" w:rsidRPr="008C40B6" w:rsidRDefault="000B33B6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Erik Jan Hanussens dichterisches Werk (Uhu ist tot und Anderes, 1915; Was so übers Brettl ging, 1915; Schließ die Augen, 1920)</w:t>
      </w:r>
    </w:p>
    <w:p w:rsidR="00361945" w:rsidRDefault="0036194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>Die Abbildung der Tschechoslowakei der 1960er Jahre in Zdenka Beckers Roman „Der größte Fall meines Vaters“</w:t>
      </w:r>
      <w:r w:rsidR="00DF5FA3">
        <w:rPr>
          <w:rFonts w:ascii="Times New Roman" w:hAnsi="Times New Roman" w:cs="Times New Roman"/>
          <w:sz w:val="24"/>
          <w:szCs w:val="24"/>
          <w:lang w:val="de-AT"/>
        </w:rPr>
        <w:t xml:space="preserve"> (2013)</w:t>
      </w:r>
    </w:p>
    <w:p w:rsidR="002A6104" w:rsidRDefault="002A6104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Frauenfiguren in den „Moralischen Erzählungen“ von Sophie von La Roche</w:t>
      </w:r>
    </w:p>
    <w:p w:rsidR="002A6104" w:rsidRDefault="002A6104" w:rsidP="002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Weltschmerz in der Lyrik Nikolaus Lenaus</w:t>
      </w:r>
    </w:p>
    <w:p w:rsidR="002E0684" w:rsidRDefault="002E0684" w:rsidP="002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Gretchen, mein Mädchen: Mädchenfiguren im Werk von Christine Nöstlinger</w:t>
      </w:r>
    </w:p>
    <w:p w:rsidR="00FE4FF2" w:rsidRDefault="001F5532" w:rsidP="002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Zum Ideal der Liebe und der Ehe in </w:t>
      </w:r>
      <w:r w:rsidR="00FE4FF2">
        <w:rPr>
          <w:rFonts w:ascii="Times New Roman" w:hAnsi="Times New Roman" w:cs="Times New Roman"/>
          <w:sz w:val="24"/>
          <w:szCs w:val="24"/>
        </w:rPr>
        <w:t>Marie Eugenie delle Grazie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4FF2">
        <w:rPr>
          <w:rFonts w:ascii="Times New Roman" w:hAnsi="Times New Roman" w:cs="Times New Roman"/>
          <w:sz w:val="24"/>
          <w:szCs w:val="24"/>
        </w:rPr>
        <w:t>: Das Buch der Liebe (1916)</w:t>
      </w:r>
    </w:p>
    <w:p w:rsidR="009C1FC0" w:rsidRDefault="009C1FC0" w:rsidP="002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den „Galgenliedern“ und „Palmström“: Das lyrische Werk Christian Morgensterns (1910–1914)</w:t>
      </w:r>
    </w:p>
    <w:p w:rsidR="002A6104" w:rsidRDefault="002A6104">
      <w:pPr>
        <w:rPr>
          <w:rFonts w:ascii="Times New Roman" w:hAnsi="Times New Roman" w:cs="Times New Roman"/>
          <w:sz w:val="24"/>
          <w:szCs w:val="24"/>
          <w:lang w:val="de-AT"/>
        </w:rPr>
      </w:pPr>
    </w:p>
    <w:p w:rsidR="001C474C" w:rsidRPr="001C474C" w:rsidRDefault="001C474C">
      <w:pPr>
        <w:rPr>
          <w:rFonts w:ascii="Times New Roman" w:hAnsi="Times New Roman" w:cs="Times New Roman"/>
          <w:b/>
          <w:i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AT"/>
        </w:rPr>
        <w:t>Kulturgeschichte</w:t>
      </w:r>
    </w:p>
    <w:p w:rsidR="00A81E9B" w:rsidRDefault="00A81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Darstellung des deutschen Widerstandes in Veit Harlans Propagandafilm „Kolberg“ (1945)</w:t>
      </w:r>
    </w:p>
    <w:p w:rsidR="00620DD5" w:rsidRDefault="00620DD5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Die „Geierwally“ (1956) und die Darstellung der Frau im deutschen Heimatfilm</w:t>
      </w:r>
    </w:p>
    <w:p w:rsidR="009C1FC0" w:rsidRPr="008C40B6" w:rsidRDefault="009C1FC0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Zarah Leander als Frauenideal im NS-Film</w:t>
      </w:r>
    </w:p>
    <w:p w:rsidR="00F67C07" w:rsidRDefault="00F67C07">
      <w:pPr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361945" w:rsidRPr="008C40B6" w:rsidRDefault="00361945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b/>
          <w:sz w:val="24"/>
          <w:szCs w:val="24"/>
          <w:lang w:val="de-AT"/>
        </w:rPr>
        <w:t>Diplomarbeiten (Auswahl)</w:t>
      </w:r>
    </w:p>
    <w:p w:rsidR="00F67C07" w:rsidRPr="00F67C07" w:rsidRDefault="00F67C07">
      <w:pPr>
        <w:rPr>
          <w:rFonts w:ascii="Times New Roman" w:hAnsi="Times New Roman" w:cs="Times New Roman"/>
          <w:b/>
          <w:i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AT"/>
        </w:rPr>
        <w:t>Literatur</w:t>
      </w:r>
    </w:p>
    <w:p w:rsidR="00A65139" w:rsidRPr="008C40B6" w:rsidRDefault="0036194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>Das Phänomen des Alpenkrimis im Kontext der Antiheimatliteratur</w:t>
      </w:r>
    </w:p>
    <w:p w:rsidR="00A65139" w:rsidRPr="008C40B6" w:rsidRDefault="00A65139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>Juli Zehs Roman „Unterleuten“  (2016) als Beispiel für eine deutsche Antiheimatliteratur</w:t>
      </w:r>
    </w:p>
    <w:p w:rsidR="00361945" w:rsidRPr="008C40B6" w:rsidRDefault="00361945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 xml:space="preserve">Ingeborg Bachmanns Lyrikwerk (oder Prosawerk) in tschechischer Übersetzung </w:t>
      </w:r>
    </w:p>
    <w:p w:rsidR="00300427" w:rsidRPr="008C40B6" w:rsidRDefault="00300427" w:rsidP="00A65139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Gauner, Diebe und Hochstapler im erzählerischen Werk des Schriftstellers und Dadaisten Walter Serner (1889 –1942)</w:t>
      </w:r>
    </w:p>
    <w:p w:rsidR="005A5801" w:rsidRPr="008C40B6" w:rsidRDefault="005A5801" w:rsidP="005A5801">
      <w:pPr>
        <w:rPr>
          <w:rFonts w:ascii="Times New Roman" w:hAnsi="Times New Roman" w:cs="Times New Roman"/>
          <w:sz w:val="24"/>
          <w:szCs w:val="24"/>
        </w:rPr>
      </w:pPr>
      <w:r w:rsidRPr="008C40B6">
        <w:rPr>
          <w:rFonts w:ascii="Times New Roman" w:hAnsi="Times New Roman" w:cs="Times New Roman"/>
          <w:sz w:val="24"/>
          <w:szCs w:val="24"/>
        </w:rPr>
        <w:lastRenderedPageBreak/>
        <w:t>Die Figur des Kronprinzen Rudolf</w:t>
      </w:r>
      <w:r w:rsidR="00C72089">
        <w:rPr>
          <w:rFonts w:ascii="Times New Roman" w:hAnsi="Times New Roman" w:cs="Times New Roman"/>
          <w:sz w:val="24"/>
          <w:szCs w:val="24"/>
        </w:rPr>
        <w:t>s</w:t>
      </w:r>
      <w:r w:rsidRPr="008C40B6">
        <w:rPr>
          <w:rFonts w:ascii="Times New Roman" w:hAnsi="Times New Roman" w:cs="Times New Roman"/>
          <w:sz w:val="24"/>
          <w:szCs w:val="24"/>
        </w:rPr>
        <w:t xml:space="preserve">  in der deutschböhmischen und</w:t>
      </w:r>
      <w:r w:rsidR="00DF5FA3">
        <w:rPr>
          <w:rFonts w:ascii="Times New Roman" w:hAnsi="Times New Roman" w:cs="Times New Roman"/>
          <w:sz w:val="24"/>
          <w:szCs w:val="24"/>
        </w:rPr>
        <w:t>/oder</w:t>
      </w:r>
      <w:r w:rsidRPr="008C40B6">
        <w:rPr>
          <w:rFonts w:ascii="Times New Roman" w:hAnsi="Times New Roman" w:cs="Times New Roman"/>
          <w:sz w:val="24"/>
          <w:szCs w:val="24"/>
        </w:rPr>
        <w:t xml:space="preserve"> deutschmährischen Literatur (Karl Emerich Hirt, Contessa Hekuba; Ludwig Winder, Der Thronfolger; Ludwig Polzer-Hoditz, Kronprinz Rudolf usw.)</w:t>
      </w:r>
    </w:p>
    <w:p w:rsidR="00806F14" w:rsidRDefault="00806F14" w:rsidP="005A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Figur des Hellsehers in Lion Feuchtwangers Roman „Die Brüder Lautensack“ (1943)</w:t>
      </w:r>
    </w:p>
    <w:p w:rsidR="006831B2" w:rsidRDefault="006831B2" w:rsidP="005A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Ausgewählte Robinsonaden aus den böhmischen Ländern</w:t>
      </w:r>
    </w:p>
    <w:p w:rsidR="00DF2B32" w:rsidRDefault="00DF2B32" w:rsidP="00DF2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Fremde: Zur Darstellung von Migranten bzw. Migrantenkindern in der zeitgenössischen Kinderliteratur</w:t>
      </w:r>
    </w:p>
    <w:p w:rsidR="00F67C07" w:rsidRDefault="00F67C07" w:rsidP="005A5801">
      <w:pPr>
        <w:rPr>
          <w:rFonts w:ascii="Times New Roman" w:hAnsi="Times New Roman" w:cs="Times New Roman"/>
          <w:sz w:val="24"/>
          <w:szCs w:val="24"/>
        </w:rPr>
      </w:pPr>
    </w:p>
    <w:p w:rsidR="00F67C07" w:rsidRPr="00F67C07" w:rsidRDefault="00F67C07" w:rsidP="005A580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Kulturgeschichte</w:t>
      </w:r>
    </w:p>
    <w:p w:rsidR="00171E62" w:rsidRDefault="00171E62" w:rsidP="005A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Darstellung Erik Jan Hanussens (1889–1933) im Film (Hanussen,1955; Hanussen 1988; Invincible, 2001)</w:t>
      </w:r>
    </w:p>
    <w:p w:rsidR="00F67C07" w:rsidRDefault="00E13283" w:rsidP="00F67C07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</w:rPr>
        <w:t>„Der Besuch der alten Dame“ von Friedrich Dürrenmatt im Film – ein Vergleich (deutsche Verfilmungen aus dem Jahr 1959 und 2008 resp. die tschechische Verfilmung aus dem Jahr 1999)</w:t>
      </w:r>
      <w:r w:rsidR="00F67C07" w:rsidRPr="00F67C0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:rsidR="00F67C07" w:rsidRPr="008C40B6" w:rsidRDefault="00F67C07" w:rsidP="00F67C07">
      <w:pPr>
        <w:rPr>
          <w:rFonts w:ascii="Times New Roman" w:hAnsi="Times New Roman" w:cs="Times New Roman"/>
          <w:sz w:val="24"/>
          <w:szCs w:val="24"/>
          <w:lang w:val="de-AT"/>
        </w:rPr>
      </w:pPr>
      <w:r w:rsidRPr="008C40B6">
        <w:rPr>
          <w:rFonts w:ascii="Times New Roman" w:hAnsi="Times New Roman" w:cs="Times New Roman"/>
          <w:sz w:val="24"/>
          <w:szCs w:val="24"/>
          <w:lang w:val="de-AT"/>
        </w:rPr>
        <w:t xml:space="preserve">Die Darstellung der Frau in ausgewählten UFA-Filmen zwischen 1933 und 1945 </w:t>
      </w:r>
    </w:p>
    <w:p w:rsidR="00F67C07" w:rsidRDefault="00F67C07" w:rsidP="00F67C07">
      <w:pPr>
        <w:rPr>
          <w:rFonts w:ascii="Times New Roman" w:hAnsi="Times New Roman" w:cs="Times New Roman"/>
          <w:sz w:val="24"/>
          <w:szCs w:val="24"/>
        </w:rPr>
      </w:pPr>
      <w:r w:rsidRPr="008C40B6">
        <w:rPr>
          <w:rFonts w:ascii="Times New Roman" w:hAnsi="Times New Roman" w:cs="Times New Roman"/>
          <w:sz w:val="24"/>
          <w:szCs w:val="24"/>
        </w:rPr>
        <w:t>Die Darstellung der „Tragödie von Mayerling“ im Nachkriegsfilm</w:t>
      </w:r>
    </w:p>
    <w:p w:rsidR="008D6867" w:rsidRPr="008C40B6" w:rsidRDefault="008D6867" w:rsidP="00F6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Josephinismus im Film – Zur Darstellung Joseph II. und der josephinischen Gesellschaft in Miloš Formans „Amadeus“ (1984)</w:t>
      </w:r>
    </w:p>
    <w:p w:rsidR="00361945" w:rsidRPr="008C40B6" w:rsidRDefault="00361945">
      <w:pPr>
        <w:rPr>
          <w:rFonts w:ascii="Times New Roman" w:hAnsi="Times New Roman" w:cs="Times New Roman"/>
          <w:sz w:val="24"/>
          <w:szCs w:val="24"/>
          <w:lang w:val="de-AT"/>
        </w:rPr>
      </w:pPr>
    </w:p>
    <w:sectPr w:rsidR="00361945" w:rsidRPr="008C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4"/>
    <w:rsid w:val="00004CF2"/>
    <w:rsid w:val="000B33B6"/>
    <w:rsid w:val="00171E62"/>
    <w:rsid w:val="001C474C"/>
    <w:rsid w:val="001F5532"/>
    <w:rsid w:val="002A6104"/>
    <w:rsid w:val="002E0684"/>
    <w:rsid w:val="00300427"/>
    <w:rsid w:val="00361945"/>
    <w:rsid w:val="003B05F0"/>
    <w:rsid w:val="00524C0D"/>
    <w:rsid w:val="005A5801"/>
    <w:rsid w:val="00620DD5"/>
    <w:rsid w:val="00664F94"/>
    <w:rsid w:val="006831B2"/>
    <w:rsid w:val="007F673F"/>
    <w:rsid w:val="00806F14"/>
    <w:rsid w:val="00817315"/>
    <w:rsid w:val="008C40B6"/>
    <w:rsid w:val="008D6867"/>
    <w:rsid w:val="009146FD"/>
    <w:rsid w:val="009C1FC0"/>
    <w:rsid w:val="00A65139"/>
    <w:rsid w:val="00A81E9B"/>
    <w:rsid w:val="00BE2CC3"/>
    <w:rsid w:val="00C72089"/>
    <w:rsid w:val="00DF2B32"/>
    <w:rsid w:val="00DF5FA3"/>
    <w:rsid w:val="00E13283"/>
    <w:rsid w:val="00E45CD0"/>
    <w:rsid w:val="00F657F0"/>
    <w:rsid w:val="00F67C07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Sabine Voda Eschgfäller, Dr.</dc:creator>
  <cp:lastModifiedBy>Mgr. Sabine Voda Eschgfäller, Dr.</cp:lastModifiedBy>
  <cp:revision>2</cp:revision>
  <dcterms:created xsi:type="dcterms:W3CDTF">2018-04-12T11:51:00Z</dcterms:created>
  <dcterms:modified xsi:type="dcterms:W3CDTF">2018-04-12T11:51:00Z</dcterms:modified>
</cp:coreProperties>
</file>